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1699"/>
        <w:gridCol w:w="1278"/>
        <w:gridCol w:w="1700"/>
        <w:gridCol w:w="109"/>
        <w:gridCol w:w="458"/>
        <w:gridCol w:w="1134"/>
        <w:gridCol w:w="217"/>
        <w:gridCol w:w="647"/>
        <w:gridCol w:w="1162"/>
        <w:gridCol w:w="101"/>
        <w:gridCol w:w="1710"/>
        <w:tblGridChange w:id="0">
          <w:tblGrid>
            <w:gridCol w:w="421"/>
            <w:gridCol w:w="1699"/>
            <w:gridCol w:w="1278"/>
            <w:gridCol w:w="1700"/>
            <w:gridCol w:w="109"/>
            <w:gridCol w:w="458"/>
            <w:gridCol w:w="1134"/>
            <w:gridCol w:w="217"/>
            <w:gridCol w:w="647"/>
            <w:gridCol w:w="1162"/>
            <w:gridCol w:w="101"/>
            <w:gridCol w:w="1710"/>
          </w:tblGrid>
        </w:tblGridChange>
      </w:tblGrid>
      <w:tr>
        <w:trPr>
          <w:cantSplit w:val="0"/>
          <w:trHeight w:val="78" w:hRule="atLeast"/>
          <w:tblHeader w:val="0"/>
        </w:trPr>
        <w:tc>
          <w:tcPr>
            <w:gridSpan w:val="3"/>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RESPONSABLE</w:t>
            </w:r>
          </w:p>
        </w:tc>
        <w:tc>
          <w:tcPr>
            <w:gridSpan w:val="9"/>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78" w:hRule="atLeast"/>
          <w:tblHeader w:val="0"/>
        </w:trPr>
        <w:tc>
          <w:tcPr>
            <w:gridSpan w:val="3"/>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TIPOLOGÍA CONTRACTUAL</w:t>
            </w:r>
          </w:p>
        </w:tc>
        <w:tc>
          <w:tcPr>
            <w:gridSpan w:val="9"/>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2"/>
              <w:tblW w:w="7233.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4"/>
              <w:gridCol w:w="489"/>
              <w:gridCol w:w="1304"/>
              <w:gridCol w:w="568"/>
              <w:gridCol w:w="1989"/>
              <w:tblGridChange w:id="0">
                <w:tblGrid>
                  <w:gridCol w:w="2884"/>
                  <w:gridCol w:w="489"/>
                  <w:gridCol w:w="1304"/>
                  <w:gridCol w:w="568"/>
                  <w:gridCol w:w="1989"/>
                </w:tblGrid>
              </w:tblGridChange>
            </w:tblGrid>
            <w:tr>
              <w:trPr>
                <w:cantSplit w:val="0"/>
                <w:trHeight w:val="202"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 de Cooperación </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Otro (Cual): ......</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vMerge w:val="restart"/>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Convenios de Asociación con ESAL.......</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Convenios de Colaboración con ESAL..</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3"/>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DEL CONVENIO:</w:t>
            </w:r>
          </w:p>
        </w:tc>
        <w:tc>
          <w:tcPr>
            <w:gridSpan w:val="9"/>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3"/>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DE LA PARTE CONVINIENTE</w:t>
            </w:r>
          </w:p>
        </w:tc>
        <w:tc>
          <w:tcPr>
            <w:gridSpan w:val="9"/>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3"/>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 DEL CONVENIO</w:t>
            </w:r>
          </w:p>
        </w:tc>
        <w:tc>
          <w:tcPr>
            <w:gridSpan w:val="9"/>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58" w:hRule="atLeast"/>
          <w:tblHeader w:val="0"/>
        </w:trPr>
        <w:tc>
          <w:tcPr>
            <w:gridSpan w:val="3"/>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APORTE DEL DEPARTAMENTO:</w:t>
            </w:r>
          </w:p>
        </w:tc>
        <w:tc>
          <w:tcPr>
            <w:gridSpan w:val="9"/>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58" w:hRule="atLeast"/>
          <w:tblHeader w:val="0"/>
        </w:trPr>
        <w:tc>
          <w:tcPr>
            <w:gridSpan w:val="3"/>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APORTE  DEL CONVINIENTE</w:t>
            </w:r>
          </w:p>
        </w:tc>
        <w:tc>
          <w:tcPr>
            <w:gridSpan w:val="9"/>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88" w:hRule="atLeast"/>
          <w:tblHeader w:val="0"/>
        </w:trPr>
        <w:tc>
          <w:tcPr>
            <w:gridSpan w:val="3"/>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DEL ANTICIPO (CUANDO APLIQUE):</w:t>
            </w:r>
          </w:p>
        </w:tc>
        <w:tc>
          <w:tcPr>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p>
        </w:tc>
        <w:tc>
          <w:tcPr>
            <w:gridSpan w:val="3"/>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en pesos</w:t>
            </w:r>
          </w:p>
        </w:tc>
        <w:tc>
          <w:tcPr>
            <w:gridSpan w:val="3"/>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58" w:hRule="atLeast"/>
          <w:tblHeader w:val="0"/>
        </w:trPr>
        <w:tc>
          <w:tcPr>
            <w:gridSpan w:val="3"/>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TÉRMINO DE DURACIÓN DEL CONVENIO:</w:t>
            </w:r>
          </w:p>
        </w:tc>
        <w:tc>
          <w:tcPr>
            <w:gridSpan w:val="9"/>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3"/>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ÚNICA DE CUMPLIMIENTO</w:t>
            </w:r>
          </w:p>
        </w:tc>
        <w:tc>
          <w:tcPr>
            <w:gridSpan w:val="2"/>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3"/>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2"/>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3"/>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RCE</w:t>
            </w:r>
          </w:p>
        </w:tc>
        <w:tc>
          <w:tcPr>
            <w:gridSpan w:val="2"/>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3"/>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2"/>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3" w:hRule="atLeast"/>
          <w:tblHeader w:val="0"/>
        </w:trPr>
        <w:tc>
          <w:tcPr>
            <w:gridSpan w:val="12"/>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gridSpan w:val="11"/>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REVISIÓN DE DOCUMENTOS PREVIOS</w:t>
            </w:r>
          </w:p>
        </w:tc>
        <w:tc>
          <w:tcPr>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 </w:t>
            </w:r>
          </w:p>
        </w:tc>
      </w:tr>
      <w:tr>
        <w:trPr>
          <w:cantSplit w:val="0"/>
          <w:trHeight w:val="58" w:hRule="atLeast"/>
          <w:tblHeader w:val="0"/>
        </w:trPr>
        <w:tc>
          <w:tcPr>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p>
        </w:tc>
        <w:tc>
          <w:tcPr>
            <w:gridSpan w:val="10"/>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Banco de programas y proyectos acompañado de los documentos técnicos: MGA, Acuerdo OCAD (Para proyectos de inversión con recurso del SGR), presupuestos del proyecto (Cuando aplique)</w:t>
            </w:r>
          </w:p>
        </w:tc>
        <w:tc>
          <w:tcPr>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 w:hRule="atLeast"/>
          <w:tblHeader w:val="0"/>
        </w:trPr>
        <w:tc>
          <w:tcPr>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p>
        </w:tc>
        <w:tc>
          <w:tcPr>
            <w:gridSpan w:val="10"/>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disponibilidad presupuestal- CDP-ó- CDR (Según sea el caso)</w:t>
            </w:r>
          </w:p>
        </w:tc>
        <w:tc>
          <w:tcPr>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 w:hRule="atLeast"/>
          <w:tblHeader w:val="0"/>
        </w:trPr>
        <w:tc>
          <w:tcPr>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p>
        </w:tc>
        <w:tc>
          <w:tcPr>
            <w:gridSpan w:val="10"/>
            <w:shd w:fill="auto"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vigencias futuras (Cuando aplique)</w:t>
            </w:r>
          </w:p>
        </w:tc>
        <w:tc>
          <w:tcPr>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p>
        </w:tc>
        <w:tc>
          <w:tcPr>
            <w:gridSpan w:val="10"/>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Estudios previos y de conveniencia</w:t>
            </w:r>
          </w:p>
        </w:tc>
        <w:tc>
          <w:tcPr>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8" w:hRule="atLeast"/>
          <w:tblHeader w:val="0"/>
        </w:trPr>
        <w:tc>
          <w:tcPr>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w:t>
            </w:r>
          </w:p>
        </w:tc>
        <w:tc>
          <w:tcPr>
            <w:gridSpan w:val="10"/>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Análisis del Sector, análisis de costos y estudio del mercado sobre la necesidad, basado en investigaciones y teniendo en consideración los factores (económicos, sociales, tecnológicos, entre otros) que puedan influenciar en este, realizado por la dependencia que genera la necesidad, acompañado de los documentos soporte</w:t>
            </w:r>
          </w:p>
        </w:tc>
        <w:tc>
          <w:tcPr>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p>
        </w:tc>
        <w:tc>
          <w:tcPr>
            <w:gridSpan w:val="10"/>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Propuesta o proyecto o plan de acción </w:t>
            </w:r>
          </w:p>
        </w:tc>
        <w:tc>
          <w:tcPr>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w:t>
            </w:r>
          </w:p>
        </w:tc>
        <w:tc>
          <w:tcPr>
            <w:gridSpan w:val="10"/>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RUT o NIT (Persona natural o jurídica)</w:t>
            </w:r>
          </w:p>
        </w:tc>
        <w:tc>
          <w:tcPr>
            <w:shd w:fill="auto"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w:t>
            </w:r>
          </w:p>
        </w:tc>
        <w:tc>
          <w:tcPr>
            <w:gridSpan w:val="10"/>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existencia y representación legal vigente, expedido por la Cámara de Comercio (persona jurídica), o Personería Jurídica.</w:t>
            </w:r>
          </w:p>
        </w:tc>
        <w:tc>
          <w:tcPr>
            <w:shd w:fill="auto"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w:t>
            </w:r>
          </w:p>
        </w:tc>
        <w:tc>
          <w:tcPr>
            <w:gridSpan w:val="10"/>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Estatutos actualizados </w:t>
            </w:r>
          </w:p>
        </w:tc>
        <w:tc>
          <w:tcPr>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w:t>
            </w:r>
          </w:p>
        </w:tc>
        <w:tc>
          <w:tcPr>
            <w:gridSpan w:val="10"/>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Facultades o autorización al representante legal para contratar  </w:t>
            </w:r>
          </w:p>
        </w:tc>
        <w:tc>
          <w:tcPr>
            <w:shd w:fill="auto"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w:t>
            </w:r>
          </w:p>
        </w:tc>
        <w:tc>
          <w:tcPr>
            <w:gridSpan w:val="10"/>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cédula de ciudadanía del representante legal.</w:t>
            </w:r>
          </w:p>
        </w:tc>
        <w:tc>
          <w:tcPr>
            <w:shd w:fill="auto"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highlight w:val="yellow"/>
                <w:u w:val="none"/>
                <w:vertAlign w:val="baseline"/>
              </w:rPr>
            </w:pPr>
            <w:r w:rsidDel="00000000" w:rsidR="00000000" w:rsidRPr="00000000">
              <w:rPr>
                <w:rtl w:val="0"/>
              </w:rPr>
            </w:r>
          </w:p>
        </w:tc>
        <w:tc>
          <w:tcPr>
            <w:gridSpan w:val="10"/>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la libreta militar o certificación de estar definida la situación militar (Ley 1861 de 2017) del representante legal.</w:t>
            </w:r>
          </w:p>
        </w:tc>
        <w:tc>
          <w:tcPr>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vMerge w:val="restart"/>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w:t>
            </w:r>
          </w:p>
        </w:tc>
        <w:tc>
          <w:tcPr>
            <w:vMerge w:val="restart"/>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Antecedentes</w:t>
            </w:r>
          </w:p>
        </w:tc>
        <w:tc>
          <w:tcPr>
            <w:gridSpan w:val="9"/>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fiscales (Persona jurídica/ Representante legal)</w:t>
            </w:r>
          </w:p>
        </w:tc>
        <w:tc>
          <w:tcPr>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vMerge w:val="continue"/>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disciplinarios (Persona jurídica/ Representante legal)</w:t>
            </w:r>
          </w:p>
        </w:tc>
        <w:tc>
          <w:tcPr>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vMerge w:val="continue"/>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judiciales - PONAL(Persona jurídica/ Representante legal)</w:t>
            </w:r>
          </w:p>
        </w:tc>
        <w:tc>
          <w:tcPr>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vMerge w:val="continue"/>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Certificación de verificación de Antecedentes (Cuando Aplique)</w:t>
            </w:r>
          </w:p>
        </w:tc>
        <w:tc>
          <w:tcPr>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w:t>
            </w:r>
          </w:p>
        </w:tc>
        <w:tc>
          <w:tcPr>
            <w:gridSpan w:val="10"/>
            <w:shd w:fill="auto"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Sistema Nacional Medidas Correctivas Policía Nacional -“ley 1801 de 2016” del Representante Legal</w:t>
            </w:r>
          </w:p>
        </w:tc>
        <w:tc>
          <w:tcPr>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16</w:t>
            </w:r>
          </w:p>
        </w:tc>
        <w:tc>
          <w:tcPr>
            <w:gridSpan w:val="10"/>
            <w:shd w:fill="auto"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de Deudores Alimentarios Morosos – REDAM del Representante Legal</w:t>
            </w:r>
          </w:p>
        </w:tc>
        <w:tc>
          <w:tcPr>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17</w:t>
            </w:r>
          </w:p>
        </w:tc>
        <w:tc>
          <w:tcPr>
            <w:gridSpan w:val="10"/>
            <w:shd w:fill="auto"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Registro de inhabilidades por delitos sexuales contra menores de edad del Representante Legal</w:t>
            </w:r>
          </w:p>
        </w:tc>
        <w:tc>
          <w:tcPr>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w:t>
            </w:r>
          </w:p>
        </w:tc>
        <w:tc>
          <w:tcPr>
            <w:gridSpan w:val="10"/>
            <w:shd w:fill="auto"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highlight w:val="yellow"/>
                <w:u w:val="none"/>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Inhabilidades e Incompatibilidades del representante legal y la entidad </w:t>
            </w:r>
            <w:r w:rsidDel="00000000" w:rsidR="00000000" w:rsidRPr="00000000">
              <w:rPr>
                <w:rtl w:val="0"/>
              </w:rPr>
            </w:r>
          </w:p>
        </w:tc>
        <w:tc>
          <w:tcPr>
            <w:shd w:fill="auto"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19</w:t>
            </w:r>
          </w:p>
        </w:tc>
        <w:tc>
          <w:tcPr>
            <w:gridSpan w:val="10"/>
            <w:shd w:fill="auto"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Documentos que acrediten experiencia de la entidad conforme al objeto del convenio</w:t>
            </w:r>
          </w:p>
        </w:tc>
        <w:tc>
          <w:tcPr>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w:t>
            </w:r>
          </w:p>
        </w:tc>
        <w:tc>
          <w:tcPr>
            <w:gridSpan w:val="10"/>
            <w:shd w:fill="auto"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Adicionalmente, para convenios de colaboración con ligas deportivas se requiere:</w:t>
            </w:r>
          </w:p>
        </w:tc>
        <w:tc>
          <w:tcPr>
            <w:shd w:fill="auto" w:val="cle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21</w:t>
            </w:r>
          </w:p>
        </w:tc>
        <w:tc>
          <w:tcPr>
            <w:gridSpan w:val="10"/>
            <w:shd w:fill="auto"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Aprobación del Plan de acción o proyecto por la Secretaría de Recreación y Deporte </w:t>
            </w:r>
          </w:p>
        </w:tc>
        <w:tc>
          <w:tcPr>
            <w:shd w:fill="auto"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w:t>
            </w:r>
          </w:p>
        </w:tc>
        <w:tc>
          <w:tcPr>
            <w:gridSpan w:val="10"/>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Plan de acción metodológico de la liga deportiva</w:t>
            </w:r>
          </w:p>
        </w:tc>
        <w:tc>
          <w:tcPr>
            <w:shd w:fill="auto"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w:t>
            </w:r>
          </w:p>
        </w:tc>
        <w:tc>
          <w:tcPr>
            <w:gridSpan w:val="10"/>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Invitación a los eventos deportivos en los que se participará con su programación</w:t>
            </w:r>
          </w:p>
        </w:tc>
        <w:tc>
          <w:tcPr>
            <w:shd w:fill="auto"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24</w:t>
            </w:r>
          </w:p>
        </w:tc>
        <w:tc>
          <w:tcPr>
            <w:gridSpan w:val="10"/>
            <w:shd w:fill="auto"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Programación de los eventos deportivos organizados por la liga deportiva </w:t>
            </w:r>
          </w:p>
        </w:tc>
        <w:tc>
          <w:tcPr>
            <w:shd w:fill="auto"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25</w:t>
            </w:r>
          </w:p>
        </w:tc>
        <w:tc>
          <w:tcPr>
            <w:gridSpan w:val="10"/>
            <w:shd w:fill="auto"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Reconocimiento deportivo vigente de la liga deportiva </w:t>
            </w:r>
          </w:p>
        </w:tc>
        <w:tc>
          <w:tcPr>
            <w:shd w:fill="auto"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26</w:t>
            </w:r>
          </w:p>
        </w:tc>
        <w:tc>
          <w:tcPr>
            <w:gridSpan w:val="10"/>
            <w:shd w:fill="auto"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Listado de los clubes afilados a la liga deportiva y el reconocimiento deportivo vigente de estos</w:t>
            </w:r>
          </w:p>
        </w:tc>
        <w:tc>
          <w:tcPr>
            <w:shd w:fill="auto"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27</w:t>
            </w:r>
          </w:p>
        </w:tc>
        <w:tc>
          <w:tcPr>
            <w:gridSpan w:val="10"/>
            <w:shd w:fill="auto"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Reconocimiento del órgano de administración de la liga deportiva </w:t>
            </w:r>
          </w:p>
        </w:tc>
        <w:tc>
          <w:tcPr>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28</w:t>
            </w:r>
          </w:p>
        </w:tc>
        <w:tc>
          <w:tcPr>
            <w:gridSpan w:val="10"/>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socialización del proyecto y el presupuesto o plan de inversión de los recursos a los clubes afilados y aprobación de los mismos </w:t>
            </w:r>
          </w:p>
        </w:tc>
        <w:tc>
          <w:tcPr>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29</w:t>
            </w:r>
          </w:p>
        </w:tc>
        <w:tc>
          <w:tcPr>
            <w:gridSpan w:val="10"/>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manejo contable de la liga deportiva emitido por quien sea competente según estatutos, acompañado de los documentos que acreditan a la persona que emite el certificado </w:t>
            </w:r>
          </w:p>
        </w:tc>
        <w:tc>
          <w:tcPr>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30</w:t>
            </w:r>
          </w:p>
        </w:tc>
        <w:tc>
          <w:tcPr>
            <w:gridSpan w:val="10"/>
            <w:shd w:fill="auto"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Listados de los deportistas que participarán en los eventos identificándolos con su datos personales, categoría, modalidad o disciplina y club al que pertenecen</w:t>
            </w:r>
          </w:p>
        </w:tc>
        <w:tc>
          <w:tcPr>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31</w:t>
            </w:r>
          </w:p>
        </w:tc>
        <w:tc>
          <w:tcPr>
            <w:gridSpan w:val="10"/>
            <w:shd w:fill="auto"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consulta de Lista OFAC (Lista Clinton) emitido por la Secretaria de Recreación y Deporte, y “pantallazo” de la consulta.</w:t>
            </w:r>
          </w:p>
        </w:tc>
        <w:tc>
          <w:tcPr>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w:t>
            </w:r>
          </w:p>
        </w:tc>
        <w:tc>
          <w:tcPr>
            <w:gridSpan w:val="10"/>
            <w:shd w:fill="auto"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Encuestas de satisfacción del manejo de la liga emitidas por los deportistas pertenecientes a clubes afiliados</w:t>
            </w:r>
          </w:p>
        </w:tc>
        <w:tc>
          <w:tcPr>
            <w:shd w:fill="auto"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33</w:t>
            </w:r>
          </w:p>
        </w:tc>
        <w:tc>
          <w:tcPr>
            <w:gridSpan w:val="10"/>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Resolución que justifica la contratación directa </w:t>
            </w:r>
          </w:p>
        </w:tc>
        <w:tc>
          <w:tcPr>
            <w:shd w:fill="auto"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34</w:t>
            </w:r>
          </w:p>
        </w:tc>
        <w:tc>
          <w:tcPr>
            <w:gridSpan w:val="10"/>
            <w:shd w:fill="auto"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Autorización expresa del representante legal de la Entidad Estatal para contratar con la ESAL</w:t>
            </w:r>
          </w:p>
        </w:tc>
        <w:tc>
          <w:tcPr>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6" w:hRule="atLeast"/>
          <w:tblHeader w:val="0"/>
        </w:trPr>
        <w:tc>
          <w:tcPr>
            <w:gridSpan w:val="12"/>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LEGALIZACIÓN DEL CONVENIO</w:t>
            </w:r>
            <w:r w:rsidDel="00000000" w:rsidR="00000000" w:rsidRPr="00000000">
              <w:rPr>
                <w:rtl w:val="0"/>
              </w:rPr>
            </w:r>
          </w:p>
        </w:tc>
      </w:tr>
      <w:tr>
        <w:trPr>
          <w:cantSplit w:val="0"/>
          <w:trHeight w:val="44" w:hRule="atLeast"/>
          <w:tblHeader w:val="0"/>
        </w:trPr>
        <w:tc>
          <w:tcPr>
            <w:gridSpan w:val="11"/>
            <w:shd w:fill="auto"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Además de los anteriores requisitos:</w:t>
            </w:r>
            <w:r w:rsidDel="00000000" w:rsidR="00000000" w:rsidRPr="00000000">
              <w:rPr>
                <w:rtl w:val="0"/>
              </w:rPr>
            </w:r>
          </w:p>
        </w:tc>
        <w:tc>
          <w:tcPr>
            <w:shd w:fill="auto"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 </w:t>
            </w:r>
          </w:p>
        </w:tc>
      </w:tr>
      <w:tr>
        <w:trPr>
          <w:cantSplit w:val="0"/>
          <w:trHeight w:val="97" w:hRule="atLeast"/>
          <w:tblHeader w:val="0"/>
        </w:trPr>
        <w:tc>
          <w:tcPr>
            <w:shd w:fill="auto"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35</w:t>
            </w:r>
          </w:p>
        </w:tc>
        <w:tc>
          <w:tcPr>
            <w:gridSpan w:val="5"/>
            <w:shd w:fill="auto"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Contrato electrónico </w:t>
            </w:r>
          </w:p>
        </w:tc>
        <w:tc>
          <w:tcPr>
            <w:shd w:fill="auto"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Numero </w:t>
            </w:r>
          </w:p>
        </w:tc>
        <w:tc>
          <w:tcPr>
            <w:gridSpan w:val="4"/>
            <w:shd w:fill="auto"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7" w:hRule="atLeast"/>
          <w:tblHeader w:val="0"/>
        </w:trPr>
        <w:tc>
          <w:tcPr>
            <w:shd w:fill="auto" w:val="cle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36</w:t>
            </w:r>
          </w:p>
        </w:tc>
        <w:tc>
          <w:tcPr>
            <w:gridSpan w:val="5"/>
            <w:shd w:fill="auto"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Anexo contractual</w:t>
            </w:r>
          </w:p>
        </w:tc>
        <w:tc>
          <w:tcPr>
            <w:shd w:fill="auto" w:val="clear"/>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 </w:t>
            </w:r>
          </w:p>
        </w:tc>
        <w:tc>
          <w:tcPr>
            <w:gridSpan w:val="4"/>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37</w:t>
            </w:r>
          </w:p>
        </w:tc>
        <w:tc>
          <w:tcPr>
            <w:gridSpan w:val="10"/>
            <w:shd w:fill="auto"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Registro de Compromiso</w:t>
            </w:r>
          </w:p>
        </w:tc>
        <w:tc>
          <w:tcPr>
            <w:shd w:fill="auto"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38</w:t>
            </w:r>
          </w:p>
        </w:tc>
        <w:tc>
          <w:tcPr>
            <w:gridSpan w:val="10"/>
            <w:shd w:fill="auto"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Garantía Única de Cumplimiento (si aplica)</w:t>
            </w:r>
          </w:p>
        </w:tc>
        <w:tc>
          <w:tcPr>
            <w:shd w:fill="auto"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restart"/>
            <w:shd w:fill="auto"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38</w:t>
            </w:r>
          </w:p>
        </w:tc>
        <w:tc>
          <w:tcPr>
            <w:vMerge w:val="restart"/>
            <w:shd w:fill="auto"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Estampillas</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(Cuando aplique)</w:t>
            </w:r>
            <w:r w:rsidDel="00000000" w:rsidR="00000000" w:rsidRPr="00000000">
              <w:rPr>
                <w:rtl w:val="0"/>
              </w:rPr>
            </w:r>
          </w:p>
        </w:tc>
        <w:tc>
          <w:tcPr>
            <w:gridSpan w:val="9"/>
            <w:shd w:fill="auto"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Pro-Desarrollo 2% del valor total del contrato.</w:t>
            </w:r>
          </w:p>
        </w:tc>
        <w:tc>
          <w:tcPr>
            <w:shd w:fill="auto"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continue"/>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Pro-Cultura 2% del valor total del contrato.</w:t>
            </w:r>
          </w:p>
        </w:tc>
        <w:tc>
          <w:tcPr>
            <w:shd w:fill="auto" w:val="clea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continue"/>
            <w:shd w:fill="auto"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Pro-Udenar 0.5% del valor total del contrato.</w:t>
            </w:r>
          </w:p>
        </w:tc>
        <w:tc>
          <w:tcPr>
            <w:shd w:fill="auto" w:val="cle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39</w:t>
            </w:r>
          </w:p>
        </w:tc>
        <w:tc>
          <w:tcPr>
            <w:gridSpan w:val="10"/>
            <w:shd w:fill="auto"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Tasa Pro-Deporte 2% del valor del total del contrato (Cuando aplique)</w:t>
            </w:r>
          </w:p>
        </w:tc>
        <w:tc>
          <w:tcPr>
            <w:shd w:fill="auto"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40</w:t>
            </w:r>
          </w:p>
        </w:tc>
        <w:tc>
          <w:tcPr>
            <w:gridSpan w:val="10"/>
            <w:shd w:fill="auto"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Paz y salvo de aportes parafiscales y seguridad social (Para las ESE, Empresas Industriales y Comerciales del Estado, ETC).</w:t>
            </w:r>
          </w:p>
        </w:tc>
        <w:tc>
          <w:tcPr>
            <w:shd w:fill="auto"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41</w:t>
            </w:r>
          </w:p>
        </w:tc>
        <w:tc>
          <w:tcPr>
            <w:gridSpan w:val="10"/>
            <w:shd w:fill="auto"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Cuenta bancaria.</w:t>
            </w:r>
          </w:p>
        </w:tc>
        <w:tc>
          <w:tcPr>
            <w:shd w:fill="auto"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42</w:t>
            </w:r>
          </w:p>
        </w:tc>
        <w:tc>
          <w:tcPr>
            <w:gridSpan w:val="10"/>
            <w:shd w:fill="auto"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Legalización</w:t>
            </w:r>
          </w:p>
        </w:tc>
        <w:tc>
          <w:tcPr>
            <w:shd w:fill="auto"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CONTRACTUAL</w:t>
            </w:r>
          </w:p>
        </w:tc>
      </w:tr>
      <w:tr>
        <w:trPr>
          <w:cantSplit w:val="0"/>
          <w:trHeight w:val="58" w:hRule="atLeast"/>
          <w:tblHeader w:val="0"/>
        </w:trPr>
        <w:tc>
          <w:tcPr>
            <w:shd w:fill="auto"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43</w:t>
            </w:r>
          </w:p>
        </w:tc>
        <w:tc>
          <w:tcPr>
            <w:gridSpan w:val="10"/>
            <w:shd w:fill="auto"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inicio (Cuando aplique)</w:t>
            </w:r>
          </w:p>
        </w:tc>
        <w:tc>
          <w:tcPr>
            <w:shd w:fill="auto" w:val="cle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44</w:t>
            </w:r>
          </w:p>
        </w:tc>
        <w:tc>
          <w:tcPr>
            <w:gridSpan w:val="10"/>
            <w:shd w:fill="auto"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(Cuando aplique)</w:t>
            </w:r>
          </w:p>
        </w:tc>
        <w:tc>
          <w:tcPr>
            <w:shd w:fill="auto" w:val="clear"/>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45</w:t>
            </w:r>
          </w:p>
        </w:tc>
        <w:tc>
          <w:tcPr>
            <w:gridSpan w:val="10"/>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Modificatorios con sus anexos (adición y/o prorroga, cuando aplique)</w:t>
            </w:r>
          </w:p>
        </w:tc>
        <w:tc>
          <w:tcPr>
            <w:shd w:fill="auto" w:val="clea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46</w:t>
            </w:r>
          </w:p>
        </w:tc>
        <w:tc>
          <w:tcPr>
            <w:gridSpan w:val="10"/>
            <w:shd w:fill="auto"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ejecución de la entidad convenida y soportes de cumplimiento</w:t>
            </w:r>
          </w:p>
        </w:tc>
        <w:tc>
          <w:tcPr>
            <w:shd w:fill="auto" w:val="clea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47</w:t>
            </w:r>
          </w:p>
        </w:tc>
        <w:tc>
          <w:tcPr>
            <w:gridSpan w:val="10"/>
            <w:shd w:fill="auto"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supervisión </w:t>
            </w:r>
          </w:p>
        </w:tc>
        <w:tc>
          <w:tcPr>
            <w:shd w:fill="auto"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48</w:t>
            </w:r>
          </w:p>
        </w:tc>
        <w:tc>
          <w:tcPr>
            <w:gridSpan w:val="10"/>
            <w:shd w:fill="auto"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Certificaciones parciales de cumplimiento</w:t>
            </w:r>
          </w:p>
        </w:tc>
        <w:tc>
          <w:tcPr>
            <w:shd w:fill="auto" w:val="clear"/>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49</w:t>
            </w:r>
          </w:p>
        </w:tc>
        <w:tc>
          <w:tcPr>
            <w:gridSpan w:val="10"/>
            <w:shd w:fill="auto"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Comprobantes de egresos</w:t>
            </w:r>
          </w:p>
        </w:tc>
        <w:tc>
          <w:tcPr>
            <w:shd w:fill="auto" w:val="clea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50</w:t>
            </w:r>
          </w:p>
        </w:tc>
        <w:tc>
          <w:tcPr>
            <w:gridSpan w:val="10"/>
            <w:shd w:fill="auto" w:val="cle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Proceso sancionatorio administrativo y anexos (Cuando aplique)</w:t>
            </w:r>
          </w:p>
        </w:tc>
        <w:tc>
          <w:tcPr>
            <w:shd w:fill="auto" w:val="clea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POST CONTRACTUAL</w:t>
            </w:r>
          </w:p>
        </w:tc>
      </w:tr>
      <w:tr>
        <w:trPr>
          <w:cantSplit w:val="0"/>
          <w:trHeight w:val="58" w:hRule="atLeast"/>
          <w:tblHeader w:val="0"/>
        </w:trPr>
        <w:tc>
          <w:tcPr>
            <w:shd w:fill="auto"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51</w:t>
            </w:r>
          </w:p>
        </w:tc>
        <w:tc>
          <w:tcPr>
            <w:gridSpan w:val="10"/>
            <w:shd w:fill="auto"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 final de supervisión </w:t>
            </w:r>
          </w:p>
        </w:tc>
        <w:tc>
          <w:tcPr>
            <w:shd w:fill="auto"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52</w:t>
            </w:r>
          </w:p>
        </w:tc>
        <w:tc>
          <w:tcPr>
            <w:gridSpan w:val="10"/>
            <w:shd w:fill="auto"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liquidación </w:t>
            </w:r>
          </w:p>
        </w:tc>
        <w:tc>
          <w:tcPr>
            <w:shd w:fill="auto"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53</w:t>
            </w:r>
          </w:p>
        </w:tc>
        <w:tc>
          <w:tcPr>
            <w:gridSpan w:val="10"/>
            <w:shd w:fill="auto" w:val="cle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cierre de expediente</w:t>
            </w:r>
          </w:p>
        </w:tc>
        <w:tc>
          <w:tcPr>
            <w:shd w:fill="auto"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2"/>
            <w:shd w:fill="auto"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2"/>
            <w:shd w:fill="auto"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OBSERVACIONES:</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48" w:hRule="atLeast"/>
          <w:tblHeader w:val="0"/>
        </w:trPr>
        <w:tc>
          <w:tcPr>
            <w:gridSpan w:val="12"/>
            <w:shd w:fill="auto"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deberán entregarse en el Departamento Administrativo de Contratación por parte de la Dependencia de la siguiente manera y conforme a la circular vigente:</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 la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Etapa Precontractual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deberán radicarse para revisión a través de medio electrónico en el orden establecido en la presente lista de chequeo (para revisión jurídica y publicación del proceso de contratación).</w:t>
            </w:r>
          </w:p>
          <w:p w:rsidR="00000000" w:rsidDel="00000000" w:rsidP="00000000" w:rsidRDefault="00000000" w:rsidRPr="00000000" w14:paraId="000003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expediente contractual será hibrido y estará conformado simultáneamente por documentos electrónicos generados en la plataforma SECOP II y por todos aquellos documentos generados por la Entidad por fuera de plataforma.</w:t>
            </w:r>
          </w:p>
          <w:p w:rsidR="00000000" w:rsidDel="00000000" w:rsidP="00000000" w:rsidRDefault="00000000" w:rsidRPr="00000000" w14:paraId="000003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legalización se deberá radicar todo el expediente contractual en medio electrónico, de igual manera para el trámite de pago se deberá radicar todo el expediente contractual en medio físico en el orden establecido en la presente lista de chequeo de acuerdo a su secuencia cronológica, en carpeta corriente, tamaño oficio, sin membrete, con gancho plástico y sin marcar (Para legalización y archivo). La foliación deberá realizarse de manera consecutiva y hasta 200 folios por carpeta y deberá numerarse en la parte superior derecha a lápiz.</w:t>
            </w:r>
          </w:p>
          <w:p w:rsidR="00000000" w:rsidDel="00000000" w:rsidP="00000000" w:rsidRDefault="00000000" w:rsidRPr="00000000" w14:paraId="000003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Las dependencias serán las responsables de alimentar el expediente contractual en todas sus etapas.</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Cada carpeta que se entregue deberá cumplir con las condiciones fijadas en la Ley General de Archivo.</w:t>
            </w:r>
            <w:r w:rsidDel="00000000" w:rsidR="00000000" w:rsidRPr="00000000">
              <w:rPr>
                <w:rtl w:val="0"/>
              </w:rPr>
            </w:r>
          </w:p>
        </w:tc>
      </w:tr>
    </w:tbl>
    <w:p w:rsidR="00000000" w:rsidDel="00000000" w:rsidP="00000000" w:rsidRDefault="00000000" w:rsidRPr="00000000" w14:paraId="000003E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EA">
      <w:pPr>
        <w:rPr>
          <w:rFonts w:ascii="Arial" w:cs="Arial" w:eastAsia="Arial" w:hAnsi="Arial"/>
          <w:sz w:val="16"/>
          <w:szCs w:val="16"/>
        </w:rPr>
      </w:pPr>
      <w:r w:rsidDel="00000000" w:rsidR="00000000" w:rsidRPr="00000000">
        <w:rPr>
          <w:rtl w:val="0"/>
        </w:rPr>
      </w:r>
    </w:p>
    <w:sectPr>
      <w:headerReference r:id="rId7" w:type="default"/>
      <w:footerReference r:id="rId8" w:type="default"/>
      <w:pgSz w:h="18720" w:w="12240" w:orient="portrait"/>
      <w:pgMar w:bottom="1134" w:top="1418" w:left="1701" w:right="1701"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2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401">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PROCESO ASOCIADO: </w:t>
          </w:r>
          <w:r w:rsidDel="00000000" w:rsidR="00000000" w:rsidRPr="00000000">
            <w:rPr>
              <w:rFonts w:ascii="Arial" w:cs="Arial" w:eastAsia="Arial" w:hAnsi="Arial"/>
              <w:b w:val="1"/>
              <w:sz w:val="16"/>
              <w:szCs w:val="16"/>
              <w:rtl w:val="0"/>
            </w:rPr>
            <w:t xml:space="preserve">GESTIÓN</w:t>
          </w:r>
          <w:r w:rsidDel="00000000" w:rsidR="00000000" w:rsidRPr="00000000">
            <w:rPr>
              <w:rFonts w:ascii="Arial" w:cs="Arial" w:eastAsia="Arial" w:hAnsi="Arial"/>
              <w:b w:val="1"/>
              <w:color w:val="000000"/>
              <w:sz w:val="16"/>
              <w:szCs w:val="16"/>
              <w:rtl w:val="0"/>
            </w:rPr>
            <w:t xml:space="preserve"> DE </w:t>
          </w:r>
          <w:r w:rsidDel="00000000" w:rsidR="00000000" w:rsidRPr="00000000">
            <w:rPr>
              <w:rFonts w:ascii="Arial" w:cs="Arial" w:eastAsia="Arial" w:hAnsi="Arial"/>
              <w:b w:val="1"/>
              <w:sz w:val="16"/>
              <w:szCs w:val="16"/>
              <w:rtl w:val="0"/>
            </w:rPr>
            <w:t xml:space="preserve">CONTRATACIÓN</w:t>
          </w:r>
        </w:p>
      </w:tc>
      <w:tc>
        <w:tcPr>
          <w:vAlign w:val="center"/>
        </w:tcPr>
        <w:p w:rsidR="00000000" w:rsidDel="00000000" w:rsidP="00000000" w:rsidRDefault="00000000" w:rsidRPr="00000000" w14:paraId="00000402">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DEPENDENCIA ASOCIADA: DEPARTAMENTO ADMINISTRATIVO DE </w:t>
          </w:r>
          <w:r w:rsidDel="00000000" w:rsidR="00000000" w:rsidRPr="00000000">
            <w:rPr>
              <w:rFonts w:ascii="Arial" w:cs="Arial" w:eastAsia="Arial" w:hAnsi="Arial"/>
              <w:b w:val="1"/>
              <w:sz w:val="16"/>
              <w:szCs w:val="16"/>
              <w:rtl w:val="0"/>
            </w:rPr>
            <w:t xml:space="preserve">CONTRATACIÓN</w:t>
          </w:r>
          <w:r w:rsidDel="00000000" w:rsidR="00000000" w:rsidRPr="00000000">
            <w:rPr>
              <w:rFonts w:ascii="Arial" w:cs="Arial" w:eastAsia="Arial" w:hAnsi="Arial"/>
              <w:b w:val="1"/>
              <w:color w:val="000000"/>
              <w:sz w:val="16"/>
              <w:szCs w:val="16"/>
              <w:rtl w:val="0"/>
            </w:rPr>
            <w:t xml:space="preserve"> DAC</w:t>
          </w:r>
          <w:r w:rsidDel="00000000" w:rsidR="00000000" w:rsidRPr="00000000">
            <w:rPr>
              <w:rtl w:val="0"/>
            </w:rPr>
          </w:r>
        </w:p>
      </w:tc>
    </w:tr>
  </w:tbl>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3"/>
      <w:tblW w:w="8263.0" w:type="dxa"/>
      <w:jc w:val="left"/>
      <w:tblInd w:w="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6"/>
      <w:gridCol w:w="4191"/>
      <w:gridCol w:w="2276"/>
      <w:tblGridChange w:id="0">
        <w:tblGrid>
          <w:gridCol w:w="1796"/>
          <w:gridCol w:w="4191"/>
          <w:gridCol w:w="2276"/>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3EC">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151764</wp:posOffset>
                </wp:positionH>
                <wp:positionV relativeFrom="paragraph">
                  <wp:posOffset>-156208</wp:posOffset>
                </wp:positionV>
                <wp:extent cx="701675" cy="7219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675" cy="721995"/>
                        </a:xfrm>
                        <a:prstGeom prst="rect"/>
                        <a:ln/>
                      </pic:spPr>
                    </pic:pic>
                  </a:graphicData>
                </a:graphic>
              </wp:anchor>
            </w:drawing>
          </w:r>
        </w:p>
        <w:p w:rsidR="00000000" w:rsidDel="00000000" w:rsidP="00000000" w:rsidRDefault="00000000" w:rsidRPr="00000000" w14:paraId="000003ED">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EE">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EF">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F0">
          <w:pPr>
            <w:tabs>
              <w:tab w:val="center" w:leader="none" w:pos="1920"/>
              <w:tab w:val="left" w:leader="none" w:pos="3045"/>
            </w:tabs>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F1">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GOBERNACIÓN</w:t>
          </w:r>
        </w:p>
        <w:p w:rsidR="00000000" w:rsidDel="00000000" w:rsidP="00000000" w:rsidRDefault="00000000" w:rsidRPr="00000000" w14:paraId="000003F2">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 NARIÑO</w:t>
          </w:r>
        </w:p>
      </w:tc>
      <w:tc>
        <w:tcPr>
          <w:vMerge w:val="restart"/>
          <w:shd w:fill="ffffff"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LISTA DE CHEQUEO</w:t>
          </w:r>
        </w:p>
        <w:p w:rsidR="00000000" w:rsidDel="00000000" w:rsidP="00000000" w:rsidRDefault="00000000" w:rsidRPr="00000000" w14:paraId="000003F4">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CONVENIOS </w:t>
          </w:r>
          <w:r w:rsidDel="00000000" w:rsidR="00000000" w:rsidRPr="00000000">
            <w:rPr>
              <w:rFonts w:ascii="Arial" w:cs="Arial" w:eastAsia="Arial" w:hAnsi="Arial"/>
              <w:b w:val="1"/>
              <w:sz w:val="20"/>
              <w:szCs w:val="20"/>
              <w:rtl w:val="0"/>
            </w:rPr>
            <w:t xml:space="preserve">COLABORACIÓN</w:t>
          </w:r>
          <w:r w:rsidDel="00000000" w:rsidR="00000000" w:rsidRPr="00000000">
            <w:rPr>
              <w:rFonts w:ascii="Arial" w:cs="Arial" w:eastAsia="Arial" w:hAnsi="Arial"/>
              <w:b w:val="1"/>
              <w:color w:val="0070c0"/>
              <w:sz w:val="20"/>
              <w:szCs w:val="20"/>
              <w:rtl w:val="0"/>
            </w:rPr>
            <w:t xml:space="preserve"> </w:t>
          </w:r>
          <w:r w:rsidDel="00000000" w:rsidR="00000000" w:rsidRPr="00000000">
            <w:rPr>
              <w:rFonts w:ascii="Arial" w:cs="Arial" w:eastAsia="Arial" w:hAnsi="Arial"/>
              <w:b w:val="1"/>
              <w:color w:val="000000"/>
              <w:sz w:val="20"/>
              <w:szCs w:val="20"/>
              <w:rtl w:val="0"/>
            </w:rPr>
            <w:t xml:space="preserve">CON ENTIDADES PRIVADAS SIN ÁNIMO DE LUCRO</w:t>
          </w:r>
          <w:r w:rsidDel="00000000" w:rsidR="00000000" w:rsidRPr="00000000">
            <w:rPr>
              <w:rtl w:val="0"/>
            </w:rPr>
          </w:r>
        </w:p>
      </w:tc>
      <w:tc>
        <w:tcPr>
          <w:vAlign w:val="center"/>
        </w:tcPr>
        <w:p w:rsidR="00000000" w:rsidDel="00000000" w:rsidP="00000000" w:rsidRDefault="00000000" w:rsidRPr="00000000" w14:paraId="000003F5">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CÓDIGO: GDC-F- 118</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F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F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FECHA VERSIÓN: 28/01/2025</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F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PÁGINA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de </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664C24"/>
    <w:pPr>
      <w:widowControl w:val="0"/>
      <w:autoSpaceDE w:val="0"/>
      <w:autoSpaceDN w:val="0"/>
      <w:spacing w:after="0" w:line="240" w:lineRule="auto"/>
    </w:pPr>
    <w:rPr>
      <w:rFonts w:ascii="Verdana" w:cs="Verdana" w:eastAsia="Verdana" w:hAnsi="Verdana"/>
      <w:lang w:bidi="es-ES"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rsid w:val="00664C24"/>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Sinespaciado">
    <w:name w:val="No Spacing"/>
    <w:uiPriority w:val="1"/>
    <w:qFormat w:val="1"/>
    <w:rsid w:val="00664C24"/>
    <w:pPr>
      <w:widowControl w:val="0"/>
      <w:autoSpaceDE w:val="0"/>
      <w:autoSpaceDN w:val="0"/>
      <w:spacing w:after="0" w:line="240" w:lineRule="auto"/>
    </w:pPr>
    <w:rPr>
      <w:rFonts w:ascii="Verdana" w:cs="Verdana" w:eastAsia="Verdana" w:hAnsi="Verdana"/>
      <w:lang w:bidi="es-ES" w:eastAsia="es-ES" w:val="es-ES"/>
    </w:rPr>
  </w:style>
  <w:style w:type="paragraph" w:styleId="Encabezado">
    <w:name w:val="header"/>
    <w:basedOn w:val="Normal"/>
    <w:link w:val="EncabezadoCar"/>
    <w:uiPriority w:val="99"/>
    <w:unhideWhenUsed w:val="1"/>
    <w:rsid w:val="00664C24"/>
    <w:pPr>
      <w:tabs>
        <w:tab w:val="center" w:pos="4419"/>
        <w:tab w:val="right" w:pos="8838"/>
      </w:tabs>
    </w:pPr>
  </w:style>
  <w:style w:type="character" w:styleId="EncabezadoCar" w:customStyle="1">
    <w:name w:val="Encabezado Car"/>
    <w:basedOn w:val="Fuentedeprrafopredeter"/>
    <w:link w:val="Encabezado"/>
    <w:uiPriority w:val="99"/>
    <w:rsid w:val="00664C24"/>
    <w:rPr>
      <w:rFonts w:ascii="Verdana" w:cs="Verdana" w:eastAsia="Verdana" w:hAnsi="Verdana"/>
      <w:lang w:bidi="es-ES" w:eastAsia="es-ES" w:val="es-ES"/>
    </w:rPr>
  </w:style>
  <w:style w:type="paragraph" w:styleId="Piedepgina">
    <w:name w:val="footer"/>
    <w:basedOn w:val="Normal"/>
    <w:link w:val="PiedepginaCar"/>
    <w:uiPriority w:val="99"/>
    <w:unhideWhenUsed w:val="1"/>
    <w:rsid w:val="00664C24"/>
    <w:pPr>
      <w:tabs>
        <w:tab w:val="center" w:pos="4419"/>
        <w:tab w:val="right" w:pos="8838"/>
      </w:tabs>
    </w:pPr>
  </w:style>
  <w:style w:type="character" w:styleId="PiedepginaCar" w:customStyle="1">
    <w:name w:val="Pie de página Car"/>
    <w:basedOn w:val="Fuentedeprrafopredeter"/>
    <w:link w:val="Piedepgina"/>
    <w:uiPriority w:val="99"/>
    <w:rsid w:val="00664C24"/>
    <w:rPr>
      <w:rFonts w:ascii="Verdana" w:cs="Verdana" w:eastAsia="Verdana" w:hAnsi="Verdana"/>
      <w:lang w:bidi="es-ES" w:eastAsia="es-ES" w:val="es-ES"/>
    </w:rPr>
  </w:style>
  <w:style w:type="character" w:styleId="Hipervnculo">
    <w:name w:val="Hyperlink"/>
    <w:uiPriority w:val="99"/>
    <w:rsid w:val="00664C24"/>
    <w:rPr>
      <w:color w:val="0000ff"/>
      <w:u w:val="single"/>
    </w:rPr>
  </w:style>
  <w:style w:type="table" w:styleId="Tablaconcuadrcula">
    <w:name w:val="Table Grid"/>
    <w:basedOn w:val="Tablanormal"/>
    <w:uiPriority w:val="39"/>
    <w:rsid w:val="00664C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visitado">
    <w:name w:val="FollowedHyperlink"/>
    <w:basedOn w:val="Fuentedeprrafopredeter"/>
    <w:uiPriority w:val="99"/>
    <w:semiHidden w:val="1"/>
    <w:unhideWhenUsed w:val="1"/>
    <w:rsid w:val="003B266F"/>
    <w:rPr>
      <w:color w:val="954f72" w:themeColor="followedHyperlink"/>
      <w:u w:val="single"/>
    </w:rPr>
  </w:style>
  <w:style w:type="paragraph" w:styleId="Prrafodelista">
    <w:name w:val="List Paragraph"/>
    <w:basedOn w:val="Normal"/>
    <w:uiPriority w:val="1"/>
    <w:qFormat w:val="1"/>
    <w:rsid w:val="003753D4"/>
    <w:rPr>
      <w:rFonts w:ascii="Arial MT" w:cs="Arial MT" w:eastAsia="Arial MT" w:hAnsi="Arial MT"/>
      <w:lang w:bidi="ar-SA" w:eastAsia="en-US"/>
    </w:rPr>
  </w:style>
  <w:style w:type="paragraph" w:styleId="TableParagraph" w:customStyle="1">
    <w:name w:val="Table Paragraph"/>
    <w:basedOn w:val="Normal"/>
    <w:uiPriority w:val="1"/>
    <w:qFormat w:val="1"/>
    <w:rsid w:val="003753D4"/>
    <w:rPr>
      <w:rFonts w:ascii="Arial MT" w:cs="Arial MT" w:eastAsia="Arial MT" w:hAnsi="Arial MT"/>
      <w:lang w:bidi="ar-SA" w:eastAsia="en-US"/>
    </w:rPr>
  </w:style>
  <w:style w:type="character" w:styleId="Refdecomentario">
    <w:name w:val="annotation reference"/>
    <w:basedOn w:val="Fuentedeprrafopredeter"/>
    <w:uiPriority w:val="99"/>
    <w:semiHidden w:val="1"/>
    <w:unhideWhenUsed w:val="1"/>
    <w:rsid w:val="00FD4D2F"/>
    <w:rPr>
      <w:sz w:val="16"/>
      <w:szCs w:val="16"/>
    </w:rPr>
  </w:style>
  <w:style w:type="paragraph" w:styleId="Textocomentario">
    <w:name w:val="annotation text"/>
    <w:basedOn w:val="Normal"/>
    <w:link w:val="TextocomentarioCar"/>
    <w:uiPriority w:val="99"/>
    <w:semiHidden w:val="1"/>
    <w:unhideWhenUsed w:val="1"/>
    <w:rsid w:val="00FD4D2F"/>
    <w:rPr>
      <w:sz w:val="20"/>
      <w:szCs w:val="20"/>
    </w:rPr>
  </w:style>
  <w:style w:type="character" w:styleId="TextocomentarioCar" w:customStyle="1">
    <w:name w:val="Texto comentario Car"/>
    <w:basedOn w:val="Fuentedeprrafopredeter"/>
    <w:link w:val="Textocomentario"/>
    <w:uiPriority w:val="99"/>
    <w:semiHidden w:val="1"/>
    <w:rsid w:val="00FD4D2F"/>
    <w:rPr>
      <w:rFonts w:ascii="Verdana" w:cs="Verdana" w:eastAsia="Verdana" w:hAnsi="Verdana"/>
      <w:sz w:val="20"/>
      <w:szCs w:val="20"/>
      <w:lang w:bidi="es-ES" w:eastAsia="es-ES" w:val="es-ES"/>
    </w:rPr>
  </w:style>
  <w:style w:type="paragraph" w:styleId="Asuntodelcomentario">
    <w:name w:val="annotation subject"/>
    <w:basedOn w:val="Textocomentario"/>
    <w:next w:val="Textocomentario"/>
    <w:link w:val="AsuntodelcomentarioCar"/>
    <w:uiPriority w:val="99"/>
    <w:semiHidden w:val="1"/>
    <w:unhideWhenUsed w:val="1"/>
    <w:rsid w:val="00FD4D2F"/>
    <w:rPr>
      <w:b w:val="1"/>
      <w:bCs w:val="1"/>
    </w:rPr>
  </w:style>
  <w:style w:type="character" w:styleId="AsuntodelcomentarioCar" w:customStyle="1">
    <w:name w:val="Asunto del comentario Car"/>
    <w:basedOn w:val="TextocomentarioCar"/>
    <w:link w:val="Asuntodelcomentario"/>
    <w:uiPriority w:val="99"/>
    <w:semiHidden w:val="1"/>
    <w:rsid w:val="00FD4D2F"/>
    <w:rPr>
      <w:rFonts w:ascii="Verdana" w:cs="Verdana" w:eastAsia="Verdana" w:hAnsi="Verdana"/>
      <w:b w:val="1"/>
      <w:bCs w:val="1"/>
      <w:sz w:val="20"/>
      <w:szCs w:val="20"/>
      <w:lang w:bidi="es-ES" w:eastAsia="es-ES" w:val="es-ES"/>
    </w:rPr>
  </w:style>
  <w:style w:type="paragraph" w:styleId="Textodeglobo">
    <w:name w:val="Balloon Text"/>
    <w:basedOn w:val="Normal"/>
    <w:link w:val="TextodegloboCar"/>
    <w:uiPriority w:val="99"/>
    <w:semiHidden w:val="1"/>
    <w:unhideWhenUsed w:val="1"/>
    <w:rsid w:val="00FD4D2F"/>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D4D2F"/>
    <w:rPr>
      <w:rFonts w:ascii="Segoe UI" w:cs="Segoe UI" w:eastAsia="Verdana" w:hAnsi="Segoe UI"/>
      <w:sz w:val="18"/>
      <w:szCs w:val="18"/>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DeClpwMbcmKn6xEvxMaaBJZeg==">CgMxLjAyCGguZ2pkZ3hzOAByITF0R0NyV29XcVhFbW9GenhTd09mMWtjalczZWhRQ1B2Zg==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2021-05-13T20:44:00Z</dcterms:created>
  <dc:creator>Usuario</dc:creator>
</cp:coreProperties>
</file>