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1081" w14:textId="192B4CC6" w:rsidR="00C8379E" w:rsidRPr="00133BA2" w:rsidRDefault="00C8379E" w:rsidP="00336C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3BA2">
        <w:rPr>
          <w:rFonts w:ascii="Arial" w:hAnsi="Arial" w:cs="Arial"/>
          <w:b/>
          <w:bCs/>
          <w:sz w:val="20"/>
          <w:szCs w:val="20"/>
        </w:rPr>
        <w:t>RESOLUCIÓN No</w:t>
      </w:r>
      <w:r w:rsidR="00B00786" w:rsidRPr="00133BA2">
        <w:rPr>
          <w:rFonts w:ascii="Arial" w:hAnsi="Arial" w:cs="Arial"/>
          <w:b/>
          <w:bCs/>
          <w:sz w:val="20"/>
          <w:szCs w:val="20"/>
        </w:rPr>
        <w:t>______</w:t>
      </w:r>
    </w:p>
    <w:p w14:paraId="68BE1D21" w14:textId="080E7D01" w:rsidR="00C8379E" w:rsidRPr="00133BA2" w:rsidRDefault="00C8379E" w:rsidP="00336C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3BA2">
        <w:rPr>
          <w:rFonts w:ascii="Arial" w:hAnsi="Arial" w:cs="Arial"/>
          <w:b/>
          <w:bCs/>
          <w:sz w:val="20"/>
          <w:szCs w:val="20"/>
        </w:rPr>
        <w:t>Por la cual se aprueba la depuración contable de los estados financieros en cumplimiento a la Resolución 533</w:t>
      </w:r>
      <w:r w:rsidR="00B00786" w:rsidRPr="00133B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3BA2">
        <w:rPr>
          <w:rFonts w:ascii="Arial" w:hAnsi="Arial" w:cs="Arial"/>
          <w:b/>
          <w:bCs/>
          <w:sz w:val="20"/>
          <w:szCs w:val="20"/>
        </w:rPr>
        <w:t>de 2015 las que le modifique y complemente, el numeral 3.2.15 de la Resolución 193 de 2016, y Decreto No 612</w:t>
      </w:r>
      <w:r w:rsidR="00B00786" w:rsidRPr="00133B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33BA2">
        <w:rPr>
          <w:rFonts w:ascii="Arial" w:hAnsi="Arial" w:cs="Arial"/>
          <w:b/>
          <w:bCs/>
          <w:sz w:val="20"/>
          <w:szCs w:val="20"/>
        </w:rPr>
        <w:t>de 2018</w:t>
      </w:r>
    </w:p>
    <w:p w14:paraId="607066E2" w14:textId="77777777" w:rsidR="00C8379E" w:rsidRPr="00133BA2" w:rsidRDefault="00C8379E" w:rsidP="00336C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3BA2">
        <w:rPr>
          <w:rFonts w:ascii="Arial" w:hAnsi="Arial" w:cs="Arial"/>
          <w:b/>
          <w:bCs/>
          <w:sz w:val="20"/>
          <w:szCs w:val="20"/>
        </w:rPr>
        <w:t>EL GOBERNADOR DEL DEPARTAMENTO DE NARIÑO</w:t>
      </w:r>
    </w:p>
    <w:p w14:paraId="3B1D5AFA" w14:textId="205DBC4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En uso de sus atribuciones legales, constitucionales y en especial de las conferidas por la Ley 136 de 1994, Ley 1551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de 2012 y demás normas concordantes, y</w:t>
      </w:r>
    </w:p>
    <w:p w14:paraId="7038049B" w14:textId="77777777" w:rsidR="00C8379E" w:rsidRPr="00133BA2" w:rsidRDefault="00C8379E" w:rsidP="00336C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3BA2">
        <w:rPr>
          <w:rFonts w:ascii="Arial" w:hAnsi="Arial" w:cs="Arial"/>
          <w:b/>
          <w:bCs/>
          <w:sz w:val="20"/>
          <w:szCs w:val="20"/>
        </w:rPr>
        <w:t>CONSIDERANDO:</w:t>
      </w:r>
    </w:p>
    <w:p w14:paraId="756B5307" w14:textId="0E13EDD4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Que mediante la Resolución 533 de 2015, expedida por la UAE Contaduría General de la Nación (CGN), se incorporó,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el Régimen de Contabilidad Pública (RPC), el Marco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Normativo para Entidades de Gobierno, el cual está integrado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por el Marco Conceptual para la Preparación y Presentación de Información Financiera; las Normas para el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Reconocimiento, Medición, Presentación, y Revelación de los Hechos Económicos; los Procedimientos Contables; las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 xml:space="preserve">Guías de Aplicación; el </w:t>
      </w:r>
      <w:proofErr w:type="spellStart"/>
      <w:r w:rsidRPr="00133BA2">
        <w:rPr>
          <w:rFonts w:ascii="Arial" w:hAnsi="Arial" w:cs="Arial"/>
          <w:sz w:val="20"/>
          <w:szCs w:val="20"/>
        </w:rPr>
        <w:t>Catalogo</w:t>
      </w:r>
      <w:proofErr w:type="spellEnd"/>
      <w:r w:rsidRPr="00133BA2">
        <w:rPr>
          <w:rFonts w:ascii="Arial" w:hAnsi="Arial" w:cs="Arial"/>
          <w:sz w:val="20"/>
          <w:szCs w:val="20"/>
        </w:rPr>
        <w:t xml:space="preserve"> General de Cuentas y la Doctrina Contable Pública.</w:t>
      </w:r>
    </w:p>
    <w:p w14:paraId="01FFDAA2" w14:textId="31F11F75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Que la Resolución 354 de 2007, expedida por la UAE Contaduría General de la Nación (CGN), en su artículo 1°,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modificado por la Resolución 156 de 2018, estableció la conformación del RCP, así: "a) EI Referente Teórico y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Metodológico de la Regulación Contable Pública; b) el Marco Normativo para Empresas que Cotizan en el Mercado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de Valores, o que Captan o Administran Ahorro del Público con sus respectivos elementos; c) el Marco Normativo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para Empresas que no Cotizan en el Mercado de Valores, y que no Captan ni Administran Ahorro del Público con sus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respectivos elementos; d) el Marco Normativo para Entidades de Gobierno con sus respectivos elementos; e) el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Marco Normativo para Entidades en Liquidación con sus respectivos elementos; f) la Regulación del Proceso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Contable y del Sistema Documental Contable; y g) los Procedimientos Transversales".</w:t>
      </w:r>
    </w:p>
    <w:p w14:paraId="15D08DB5" w14:textId="521F857C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Que la Resolución 193 de 2016, expedida por la CGN, incorporó en los procesos transversales del Régimen de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Contabilidad Pública, el procedimiento para la evaluación del Control Interno Contable, el cual, en el numeral 3.2.15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del anexo de dicha resolución, establece que las entidades cuya información financiera no refleje su realidad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económica deberán 1) adelantar las gestiones administrativas para depurar las cifras y demás datos contenidos en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los estados financieros, de forma que cumplan las características fundamentales de relevancia y representación fiel, y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2) implementar los controles que sean necesarios a fin de mejorar la calidad de la información. Adicionalmente,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precisa que la información financiera que sea objeto de depuración contable será ajustada según la norma aplicable a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cada caso particular.</w:t>
      </w:r>
    </w:p>
    <w:p w14:paraId="2E1E8073" w14:textId="1AFDD7B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Que mediante Decreto No 612 de 2018, se creó el Comité Técnico de Depuración y Sostenibilidad Contable del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Departamento de Nariño, y se define el reglamento para su funcionamiento.</w:t>
      </w:r>
    </w:p>
    <w:p w14:paraId="71C8DE4E" w14:textId="392F467C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Que el Departamento de Nariño, efectuó exploración exhaustiva de archivos, y documentos soporte, en desarrollo de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procedimientos conducentes a garantizar la evaluación, documental para determinar depuraciones, correcciones,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reclasificaciones y ajustes requeridos para castigar los valores que presentan un estado de cobranza o pago incierto,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de manera que los estados financieros revelen en forma razonable su realidad económica, financiera y patrimonial de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la entidad.</w:t>
      </w:r>
    </w:p>
    <w:p w14:paraId="18CC73A3" w14:textId="421C1460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 xml:space="preserve">Que mediante </w:t>
      </w:r>
      <w:r w:rsidRPr="00133BA2">
        <w:rPr>
          <w:rFonts w:ascii="Arial" w:hAnsi="Arial" w:cs="Arial"/>
          <w:color w:val="BFBFBF" w:themeColor="background1" w:themeShade="BF"/>
          <w:sz w:val="20"/>
          <w:szCs w:val="20"/>
        </w:rPr>
        <w:t xml:space="preserve">ACTA DE REUNIÓN * ORDINARIA o EXTRAORDINARIA * No 0*** de </w:t>
      </w:r>
      <w:r w:rsidR="00B00786" w:rsidRPr="00133BA2">
        <w:rPr>
          <w:rFonts w:ascii="Arial" w:hAnsi="Arial" w:cs="Arial"/>
          <w:color w:val="BFBFBF" w:themeColor="background1" w:themeShade="BF"/>
          <w:sz w:val="20"/>
          <w:szCs w:val="20"/>
        </w:rPr>
        <w:t>AAAA</w:t>
      </w:r>
      <w:r w:rsidRPr="00133BA2">
        <w:rPr>
          <w:rFonts w:ascii="Arial" w:hAnsi="Arial" w:cs="Arial"/>
          <w:sz w:val="20"/>
          <w:szCs w:val="20"/>
        </w:rPr>
        <w:t>, el Comité Técnico de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Depuración y Sostenibilidad Contable en reunió del día (</w:t>
      </w:r>
      <w:r w:rsidR="00B00786" w:rsidRPr="00133BA2">
        <w:rPr>
          <w:rFonts w:ascii="Arial" w:hAnsi="Arial" w:cs="Arial"/>
          <w:color w:val="BFBFBF" w:themeColor="background1" w:themeShade="BF"/>
          <w:sz w:val="20"/>
          <w:szCs w:val="20"/>
        </w:rPr>
        <w:t>DD</w:t>
      </w:r>
      <w:r w:rsidRPr="00133BA2">
        <w:rPr>
          <w:rFonts w:ascii="Arial" w:hAnsi="Arial" w:cs="Arial"/>
          <w:sz w:val="20"/>
          <w:szCs w:val="20"/>
        </w:rPr>
        <w:t>)</w:t>
      </w:r>
      <w:r w:rsidR="00B00786" w:rsidRPr="00133BA2">
        <w:rPr>
          <w:rFonts w:ascii="Arial" w:hAnsi="Arial" w:cs="Arial"/>
          <w:sz w:val="20"/>
          <w:szCs w:val="20"/>
        </w:rPr>
        <w:t xml:space="preserve"> del mes(</w:t>
      </w:r>
      <w:r w:rsidR="00B00786" w:rsidRPr="00133BA2">
        <w:rPr>
          <w:rFonts w:ascii="Arial" w:hAnsi="Arial" w:cs="Arial"/>
          <w:color w:val="BFBFBF" w:themeColor="background1" w:themeShade="BF"/>
          <w:sz w:val="20"/>
          <w:szCs w:val="20"/>
        </w:rPr>
        <w:t>MM</w:t>
      </w:r>
      <w:r w:rsidR="00B00786" w:rsidRPr="00133BA2">
        <w:rPr>
          <w:rFonts w:ascii="Arial" w:hAnsi="Arial" w:cs="Arial"/>
          <w:sz w:val="20"/>
          <w:szCs w:val="20"/>
        </w:rPr>
        <w:t>) del año (</w:t>
      </w:r>
      <w:r w:rsidR="00B00786" w:rsidRPr="00133BA2">
        <w:rPr>
          <w:rFonts w:ascii="Arial" w:hAnsi="Arial" w:cs="Arial"/>
          <w:color w:val="BFBFBF" w:themeColor="background1" w:themeShade="BF"/>
          <w:sz w:val="20"/>
          <w:szCs w:val="20"/>
        </w:rPr>
        <w:t>AAAA)</w:t>
      </w:r>
      <w:r w:rsidRPr="00133BA2">
        <w:rPr>
          <w:rFonts w:ascii="Arial" w:hAnsi="Arial" w:cs="Arial"/>
          <w:sz w:val="20"/>
          <w:szCs w:val="20"/>
        </w:rPr>
        <w:t xml:space="preserve"> decide recomendar al Gobernador del Departamento de Nariño, la depuración de cifras y demás datos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contenidos en los estados financieros.</w:t>
      </w:r>
    </w:p>
    <w:p w14:paraId="7C5668A5" w14:textId="789F5ED2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lastRenderedPageBreak/>
        <w:t>Que las fichas de depuración y los soportes del procedimiento de depuración contable, permanente y sostenible con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los cuales se sustentó el informe para estudio y evaluación de las acciones de depuración contable ante el Comité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Técnico de Depuración y Sostenibilidad Contable hacen parte integral de la presente resolución.</w:t>
      </w:r>
    </w:p>
    <w:p w14:paraId="123F1BA7" w14:textId="3F38E36D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Que la Resolución 706 de 2016, expedida por la CGN, en su artículo 3°, estableció como funcionarios responsables al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representante legal y el contador público que tengan a cargo la contabilidad de la entidad pública como responsables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por el cumplimiento de las obligaciones relacionadas con los plazos y requisitos para el reporte de la información a la</w:t>
      </w:r>
      <w:r w:rsidR="00B00786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>Contaduría General de la Nación.</w:t>
      </w:r>
    </w:p>
    <w:p w14:paraId="1A1495CF" w14:textId="7777777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En mérito de lo expuesto,</w:t>
      </w:r>
    </w:p>
    <w:p w14:paraId="22C3EC42" w14:textId="77777777" w:rsidR="00C8379E" w:rsidRPr="00133BA2" w:rsidRDefault="00C8379E" w:rsidP="00336C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3BA2">
        <w:rPr>
          <w:rFonts w:ascii="Arial" w:hAnsi="Arial" w:cs="Arial"/>
          <w:b/>
          <w:bCs/>
          <w:sz w:val="20"/>
          <w:szCs w:val="20"/>
        </w:rPr>
        <w:t>RESUELVE:</w:t>
      </w:r>
    </w:p>
    <w:p w14:paraId="591FFDD8" w14:textId="16C5FDBD" w:rsidR="00C8379E" w:rsidRPr="00133BA2" w:rsidRDefault="00C8379E" w:rsidP="00336C31">
      <w:pPr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ARTÍCULO PRIMERO. Ordenar al Contador General del Departamento proceder a efectuar los registros contables de eliminación y</w:t>
      </w:r>
      <w:r w:rsidR="00336C31" w:rsidRPr="00133BA2">
        <w:rPr>
          <w:rFonts w:ascii="Arial" w:hAnsi="Arial" w:cs="Arial"/>
          <w:sz w:val="20"/>
          <w:szCs w:val="20"/>
        </w:rPr>
        <w:t>/</w:t>
      </w:r>
      <w:r w:rsidRPr="00133BA2">
        <w:rPr>
          <w:rFonts w:ascii="Arial" w:hAnsi="Arial" w:cs="Arial"/>
          <w:sz w:val="20"/>
          <w:szCs w:val="20"/>
        </w:rPr>
        <w:t>o incorporaciones que correspondan, conforme a las recomendaciones del el Comité Técnico de</w:t>
      </w:r>
      <w:r w:rsidR="00336C31" w:rsidRPr="00133BA2">
        <w:rPr>
          <w:rFonts w:ascii="Arial" w:hAnsi="Arial" w:cs="Arial"/>
          <w:sz w:val="20"/>
          <w:szCs w:val="20"/>
        </w:rPr>
        <w:t xml:space="preserve"> </w:t>
      </w:r>
      <w:r w:rsidRPr="00133BA2">
        <w:rPr>
          <w:rFonts w:ascii="Arial" w:hAnsi="Arial" w:cs="Arial"/>
          <w:sz w:val="20"/>
          <w:szCs w:val="20"/>
        </w:rPr>
        <w:t xml:space="preserve">Depuración y Sostenibilidad Contable consignadas en el </w:t>
      </w:r>
      <w:r w:rsidRPr="00133BA2">
        <w:rPr>
          <w:rFonts w:ascii="Arial" w:hAnsi="Arial" w:cs="Arial"/>
          <w:color w:val="BFBFBF" w:themeColor="background1" w:themeShade="BF"/>
          <w:sz w:val="20"/>
          <w:szCs w:val="20"/>
        </w:rPr>
        <w:t>ACTA DE REUNION * ORDINARIA o EXTRAORDINARIA</w:t>
      </w:r>
      <w:r w:rsidR="00336C31" w:rsidRPr="00133BA2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Pr="00133BA2">
        <w:rPr>
          <w:rFonts w:ascii="Arial" w:hAnsi="Arial" w:cs="Arial"/>
          <w:color w:val="BFBFBF" w:themeColor="background1" w:themeShade="BF"/>
          <w:sz w:val="20"/>
          <w:szCs w:val="20"/>
        </w:rPr>
        <w:t xml:space="preserve">* No 0*** de </w:t>
      </w:r>
      <w:r w:rsidR="00336C31" w:rsidRPr="00133BA2">
        <w:rPr>
          <w:rFonts w:ascii="Arial" w:hAnsi="Arial" w:cs="Arial"/>
          <w:color w:val="BFBFBF" w:themeColor="background1" w:themeShade="BF"/>
          <w:sz w:val="20"/>
          <w:szCs w:val="20"/>
        </w:rPr>
        <w:t>AAAA</w:t>
      </w:r>
      <w:r w:rsidRPr="00133BA2">
        <w:rPr>
          <w:rFonts w:ascii="Arial" w:hAnsi="Arial" w:cs="Arial"/>
          <w:color w:val="BFBFBF" w:themeColor="background1" w:themeShade="BF"/>
          <w:sz w:val="20"/>
          <w:szCs w:val="20"/>
        </w:rPr>
        <w:t xml:space="preserve">, </w:t>
      </w:r>
      <w:r w:rsidRPr="00133BA2">
        <w:rPr>
          <w:rFonts w:ascii="Arial" w:hAnsi="Arial" w:cs="Arial"/>
          <w:sz w:val="20"/>
          <w:szCs w:val="20"/>
        </w:rPr>
        <w:t>que forman parte integral de la presente resolución.</w:t>
      </w:r>
    </w:p>
    <w:p w14:paraId="567FC422" w14:textId="77777777" w:rsidR="00336C31" w:rsidRPr="00133BA2" w:rsidRDefault="00336C31" w:rsidP="00336C31">
      <w:pPr>
        <w:jc w:val="both"/>
        <w:rPr>
          <w:rFonts w:ascii="Arial" w:hAnsi="Arial" w:cs="Arial"/>
          <w:sz w:val="20"/>
          <w:szCs w:val="20"/>
        </w:rPr>
      </w:pPr>
    </w:p>
    <w:p w14:paraId="3B5A36B3" w14:textId="7777777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ARTÍCULO SEGUNDO. La presente resolución rige a partir de su expedición.</w:t>
      </w:r>
    </w:p>
    <w:p w14:paraId="63A07AC7" w14:textId="77777777" w:rsidR="00336C31" w:rsidRPr="00133BA2" w:rsidRDefault="00336C31" w:rsidP="00336C31">
      <w:pPr>
        <w:jc w:val="both"/>
        <w:rPr>
          <w:rFonts w:ascii="Arial" w:hAnsi="Arial" w:cs="Arial"/>
          <w:sz w:val="20"/>
          <w:szCs w:val="20"/>
        </w:rPr>
      </w:pPr>
    </w:p>
    <w:p w14:paraId="0EF1507D" w14:textId="44A406AA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COMUNÍQUESE Y CÚMPLASE</w:t>
      </w:r>
    </w:p>
    <w:p w14:paraId="5AA98E9F" w14:textId="5F9500B1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Dada en San Juan de Pasto, a los</w:t>
      </w:r>
      <w:r w:rsidR="00336C31" w:rsidRPr="00133BA2">
        <w:rPr>
          <w:rFonts w:ascii="Arial" w:hAnsi="Arial" w:cs="Arial"/>
          <w:sz w:val="20"/>
          <w:szCs w:val="20"/>
        </w:rPr>
        <w:t xml:space="preserve"> </w:t>
      </w:r>
      <w:r w:rsidR="00336C31" w:rsidRPr="00133BA2">
        <w:rPr>
          <w:rFonts w:ascii="Arial" w:hAnsi="Arial" w:cs="Arial"/>
          <w:color w:val="BFBFBF" w:themeColor="background1" w:themeShade="BF"/>
          <w:sz w:val="20"/>
          <w:szCs w:val="20"/>
        </w:rPr>
        <w:t xml:space="preserve">DD </w:t>
      </w:r>
      <w:r w:rsidR="00336C31" w:rsidRPr="00133BA2">
        <w:rPr>
          <w:rFonts w:ascii="Arial" w:hAnsi="Arial" w:cs="Arial"/>
          <w:sz w:val="20"/>
          <w:szCs w:val="20"/>
        </w:rPr>
        <w:t xml:space="preserve">del </w:t>
      </w:r>
      <w:r w:rsidR="00336C31" w:rsidRPr="00133BA2">
        <w:rPr>
          <w:rFonts w:ascii="Arial" w:hAnsi="Arial" w:cs="Arial"/>
          <w:color w:val="BFBFBF" w:themeColor="background1" w:themeShade="BF"/>
          <w:sz w:val="20"/>
          <w:szCs w:val="20"/>
        </w:rPr>
        <w:t>MM</w:t>
      </w:r>
      <w:r w:rsidR="00336C31" w:rsidRPr="00133BA2">
        <w:rPr>
          <w:rFonts w:ascii="Arial" w:hAnsi="Arial" w:cs="Arial"/>
          <w:sz w:val="20"/>
          <w:szCs w:val="20"/>
        </w:rPr>
        <w:t xml:space="preserve"> del año</w:t>
      </w:r>
      <w:r w:rsidR="00336C31" w:rsidRPr="00133BA2">
        <w:rPr>
          <w:rFonts w:ascii="Arial" w:hAnsi="Arial" w:cs="Arial"/>
          <w:color w:val="BFBFBF" w:themeColor="background1" w:themeShade="BF"/>
          <w:sz w:val="20"/>
          <w:szCs w:val="20"/>
        </w:rPr>
        <w:t xml:space="preserve"> AAAA</w:t>
      </w:r>
    </w:p>
    <w:p w14:paraId="10DBAF4E" w14:textId="042E8927" w:rsidR="00336C31" w:rsidRPr="00133BA2" w:rsidRDefault="00336C31" w:rsidP="00336C31">
      <w:pPr>
        <w:jc w:val="both"/>
        <w:rPr>
          <w:rFonts w:ascii="Arial" w:hAnsi="Arial" w:cs="Arial"/>
          <w:sz w:val="20"/>
          <w:szCs w:val="20"/>
        </w:rPr>
      </w:pPr>
    </w:p>
    <w:p w14:paraId="085060E8" w14:textId="77777777" w:rsidR="000B0964" w:rsidRPr="00133BA2" w:rsidRDefault="000B0964" w:rsidP="00336C31">
      <w:pPr>
        <w:jc w:val="both"/>
        <w:rPr>
          <w:rFonts w:ascii="Arial" w:hAnsi="Arial" w:cs="Arial"/>
          <w:sz w:val="20"/>
          <w:szCs w:val="20"/>
        </w:rPr>
      </w:pPr>
    </w:p>
    <w:p w14:paraId="35D140FB" w14:textId="2A1F6112" w:rsidR="00C8379E" w:rsidRPr="00133BA2" w:rsidRDefault="00C8379E" w:rsidP="00244D1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3BA2">
        <w:rPr>
          <w:rFonts w:ascii="Arial" w:hAnsi="Arial" w:cs="Arial"/>
          <w:b/>
          <w:bCs/>
          <w:sz w:val="20"/>
          <w:szCs w:val="20"/>
        </w:rPr>
        <w:t>Gobernador Departamento de Nariño</w:t>
      </w:r>
    </w:p>
    <w:p w14:paraId="37B6A125" w14:textId="7777777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Proyecto:</w:t>
      </w:r>
    </w:p>
    <w:p w14:paraId="7450D89D" w14:textId="7777777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Reviso:</w:t>
      </w:r>
    </w:p>
    <w:p w14:paraId="5C92E682" w14:textId="7777777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Secretario de Hacienda</w:t>
      </w:r>
    </w:p>
    <w:p w14:paraId="0AA20397" w14:textId="7777777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Contador General del Departamento</w:t>
      </w:r>
    </w:p>
    <w:p w14:paraId="04705CB9" w14:textId="77777777" w:rsidR="00C8379E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>Aprobó:</w:t>
      </w:r>
    </w:p>
    <w:p w14:paraId="6D1C0A9C" w14:textId="66EADA98" w:rsidR="00012BB9" w:rsidRPr="00133BA2" w:rsidRDefault="00C8379E" w:rsidP="00336C31">
      <w:pPr>
        <w:jc w:val="both"/>
        <w:rPr>
          <w:rFonts w:ascii="Arial" w:hAnsi="Arial" w:cs="Arial"/>
          <w:sz w:val="20"/>
          <w:szCs w:val="20"/>
        </w:rPr>
      </w:pPr>
      <w:r w:rsidRPr="00133BA2">
        <w:rPr>
          <w:rFonts w:ascii="Arial" w:hAnsi="Arial" w:cs="Arial"/>
          <w:sz w:val="20"/>
          <w:szCs w:val="20"/>
        </w:rPr>
        <w:t xml:space="preserve">Oficina </w:t>
      </w:r>
      <w:r w:rsidR="00336C31" w:rsidRPr="00133BA2">
        <w:rPr>
          <w:rFonts w:ascii="Arial" w:hAnsi="Arial" w:cs="Arial"/>
          <w:sz w:val="20"/>
          <w:szCs w:val="20"/>
        </w:rPr>
        <w:t>Jurídica</w:t>
      </w:r>
      <w:r w:rsidRPr="00133BA2">
        <w:rPr>
          <w:rFonts w:ascii="Arial" w:hAnsi="Arial" w:cs="Arial"/>
          <w:sz w:val="20"/>
          <w:szCs w:val="20"/>
        </w:rPr>
        <w:t xml:space="preserve"> de la Gobernación</w:t>
      </w:r>
    </w:p>
    <w:sectPr w:rsidR="00012BB9" w:rsidRPr="00133BA2" w:rsidSect="009D74D4">
      <w:headerReference w:type="default" r:id="rId8"/>
      <w:foot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717D" w14:textId="77777777" w:rsidR="00B54E31" w:rsidRDefault="00B54E31" w:rsidP="00547CB7">
      <w:pPr>
        <w:spacing w:after="0" w:line="240" w:lineRule="auto"/>
      </w:pPr>
      <w:r>
        <w:separator/>
      </w:r>
    </w:p>
  </w:endnote>
  <w:endnote w:type="continuationSeparator" w:id="0">
    <w:p w14:paraId="77C301A0" w14:textId="77777777" w:rsidR="00B54E31" w:rsidRDefault="00B54E31" w:rsidP="0054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783"/>
      <w:gridCol w:w="4895"/>
    </w:tblGrid>
    <w:tr w:rsidR="00133BA2" w14:paraId="241C57BC" w14:textId="77777777" w:rsidTr="0049779C">
      <w:tc>
        <w:tcPr>
          <w:tcW w:w="2471" w:type="pct"/>
          <w:vAlign w:val="center"/>
        </w:tcPr>
        <w:p w14:paraId="782FAB8C" w14:textId="77777777" w:rsidR="00133BA2" w:rsidRPr="00EF2237" w:rsidRDefault="00133BA2" w:rsidP="00133BA2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71052175"/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PROCESO ASOCIADO: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GESTION FINANCIERA</w:t>
          </w:r>
        </w:p>
      </w:tc>
      <w:tc>
        <w:tcPr>
          <w:tcW w:w="2529" w:type="pct"/>
          <w:vAlign w:val="center"/>
        </w:tcPr>
        <w:p w14:paraId="57D511E5" w14:textId="77777777" w:rsidR="00133BA2" w:rsidRPr="00EF2237" w:rsidRDefault="00133BA2" w:rsidP="00133BA2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DEPENDENCIA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SECRETARIA DE HACIENDA</w:t>
          </w:r>
        </w:p>
      </w:tc>
    </w:tr>
    <w:bookmarkEnd w:id="0"/>
  </w:tbl>
  <w:p w14:paraId="363053B7" w14:textId="77777777" w:rsidR="00133BA2" w:rsidRDefault="00133B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C89F" w14:textId="77777777" w:rsidR="00B54E31" w:rsidRDefault="00B54E31" w:rsidP="00547CB7">
      <w:pPr>
        <w:spacing w:after="0" w:line="240" w:lineRule="auto"/>
      </w:pPr>
      <w:r>
        <w:separator/>
      </w:r>
    </w:p>
  </w:footnote>
  <w:footnote w:type="continuationSeparator" w:id="0">
    <w:p w14:paraId="0C5EF76B" w14:textId="77777777" w:rsidR="00B54E31" w:rsidRDefault="00B54E31" w:rsidP="0054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1"/>
      <w:gridCol w:w="5960"/>
      <w:gridCol w:w="2437"/>
    </w:tblGrid>
    <w:tr w:rsidR="00133BA2" w:rsidRPr="00F423D2" w14:paraId="2262A66F" w14:textId="77777777" w:rsidTr="0049779C">
      <w:trPr>
        <w:trHeight w:val="280"/>
      </w:trPr>
      <w:tc>
        <w:tcPr>
          <w:tcW w:w="662" w:type="pct"/>
          <w:vMerge w:val="restart"/>
          <w:shd w:val="clear" w:color="auto" w:fill="auto"/>
          <w:vAlign w:val="bottom"/>
        </w:tcPr>
        <w:p w14:paraId="3C84CB61" w14:textId="77777777" w:rsidR="00133BA2" w:rsidRPr="009F45E7" w:rsidRDefault="00133BA2" w:rsidP="00133BA2">
          <w:pPr>
            <w:tabs>
              <w:tab w:val="center" w:pos="1920"/>
              <w:tab w:val="left" w:pos="3045"/>
            </w:tabs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9264" behindDoc="1" locked="0" layoutInCell="1" allowOverlap="1" wp14:anchorId="2139A053" wp14:editId="3AC841FB">
                <wp:simplePos x="0" y="0"/>
                <wp:positionH relativeFrom="margin">
                  <wp:posOffset>115570</wp:posOffset>
                </wp:positionH>
                <wp:positionV relativeFrom="margin">
                  <wp:posOffset>-3810</wp:posOffset>
                </wp:positionV>
                <wp:extent cx="476885" cy="490855"/>
                <wp:effectExtent l="0" t="0" r="0" b="4445"/>
                <wp:wrapThrough wrapText="bothSides">
                  <wp:wrapPolygon edited="0">
                    <wp:start x="863" y="0"/>
                    <wp:lineTo x="0" y="17604"/>
                    <wp:lineTo x="0" y="20957"/>
                    <wp:lineTo x="863" y="20957"/>
                    <wp:lineTo x="19846" y="20957"/>
                    <wp:lineTo x="20708" y="20957"/>
                    <wp:lineTo x="20708" y="17604"/>
                    <wp:lineTo x="19846" y="0"/>
                    <wp:lineTo x="863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F45E7">
            <w:rPr>
              <w:rFonts w:ascii="Arial" w:hAnsi="Arial" w:cs="Arial"/>
              <w:b/>
              <w:sz w:val="14"/>
              <w:szCs w:val="14"/>
            </w:rPr>
            <w:t>GOBERNACIÓN</w:t>
          </w:r>
        </w:p>
        <w:p w14:paraId="4D7B2E11" w14:textId="77777777" w:rsidR="00133BA2" w:rsidRPr="00BF6C73" w:rsidRDefault="00133BA2" w:rsidP="00133BA2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9F45E7">
            <w:rPr>
              <w:rFonts w:ascii="Arial" w:hAnsi="Arial" w:cs="Arial"/>
              <w:b/>
              <w:sz w:val="14"/>
              <w:szCs w:val="14"/>
            </w:rPr>
            <w:t>DE NARIÑO</w:t>
          </w:r>
        </w:p>
      </w:tc>
      <w:tc>
        <w:tcPr>
          <w:tcW w:w="3079" w:type="pct"/>
          <w:vMerge w:val="restart"/>
          <w:shd w:val="clear" w:color="auto" w:fill="FFFFFF"/>
          <w:vAlign w:val="center"/>
        </w:tcPr>
        <w:p w14:paraId="09A31640" w14:textId="3C1B76C2" w:rsidR="00133BA2" w:rsidRPr="00133BA2" w:rsidRDefault="00133BA2" w:rsidP="00133BA2">
          <w:pPr>
            <w:pStyle w:val="Encabezado"/>
            <w:ind w:hanging="2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133BA2">
            <w:rPr>
              <w:rFonts w:ascii="Arial" w:hAnsi="Arial" w:cs="Arial"/>
              <w:b/>
              <w:bCs/>
              <w:sz w:val="24"/>
              <w:szCs w:val="24"/>
            </w:rPr>
            <w:t>MODELO DE RESOLUCIÓN POR LA CUAL SE APRUEBA LA DEPURACIÓN CONTABLE DE LOS ESTADOS FINANCIEROS DEL DEPARTAMENTO DE NARIÑO</w:t>
          </w:r>
        </w:p>
      </w:tc>
      <w:tc>
        <w:tcPr>
          <w:tcW w:w="1259" w:type="pct"/>
          <w:vAlign w:val="center"/>
        </w:tcPr>
        <w:p w14:paraId="50994115" w14:textId="34F50C7E" w:rsidR="00133BA2" w:rsidRPr="00133BA2" w:rsidRDefault="00133BA2" w:rsidP="00133BA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33BA2">
            <w:rPr>
              <w:rFonts w:ascii="Arial" w:hAnsi="Arial" w:cs="Arial"/>
              <w:b/>
              <w:bCs/>
              <w:sz w:val="16"/>
              <w:szCs w:val="16"/>
            </w:rPr>
            <w:t>CÓDIGO: GFRA-F-04</w:t>
          </w:r>
        </w:p>
      </w:tc>
    </w:tr>
    <w:tr w:rsidR="00133BA2" w:rsidRPr="00F423D2" w14:paraId="5C5A38BE" w14:textId="77777777" w:rsidTr="0049779C">
      <w:trPr>
        <w:trHeight w:val="283"/>
      </w:trPr>
      <w:tc>
        <w:tcPr>
          <w:tcW w:w="662" w:type="pct"/>
          <w:vMerge/>
          <w:shd w:val="clear" w:color="auto" w:fill="auto"/>
        </w:tcPr>
        <w:p w14:paraId="3D97C811" w14:textId="77777777" w:rsidR="00133BA2" w:rsidRPr="00F423D2" w:rsidRDefault="00133BA2" w:rsidP="00133BA2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02E3028E" w14:textId="77777777" w:rsidR="00133BA2" w:rsidRPr="00133BA2" w:rsidRDefault="00133BA2" w:rsidP="00133BA2">
          <w:pPr>
            <w:pStyle w:val="Encabezado"/>
            <w:ind w:hanging="2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59E5B4E9" w14:textId="12FA6922" w:rsidR="00133BA2" w:rsidRPr="00133BA2" w:rsidRDefault="00133BA2" w:rsidP="00133BA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33BA2">
            <w:rPr>
              <w:rFonts w:ascii="Arial" w:hAnsi="Arial" w:cs="Arial"/>
              <w:b/>
              <w:bCs/>
              <w:sz w:val="16"/>
              <w:szCs w:val="16"/>
            </w:rPr>
            <w:t xml:space="preserve">VERSIÓN: </w:t>
          </w:r>
          <w:r w:rsidR="000F7604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</w:tr>
    <w:tr w:rsidR="00133BA2" w:rsidRPr="00F423D2" w14:paraId="4C93FD41" w14:textId="77777777" w:rsidTr="0049779C">
      <w:trPr>
        <w:trHeight w:val="257"/>
      </w:trPr>
      <w:tc>
        <w:tcPr>
          <w:tcW w:w="662" w:type="pct"/>
          <w:vMerge/>
          <w:shd w:val="clear" w:color="auto" w:fill="auto"/>
          <w:vAlign w:val="center"/>
        </w:tcPr>
        <w:p w14:paraId="0C3FC9A9" w14:textId="77777777" w:rsidR="00133BA2" w:rsidRPr="00F423D2" w:rsidRDefault="00133BA2" w:rsidP="00133BA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06281CCF" w14:textId="77777777" w:rsidR="00133BA2" w:rsidRPr="00133BA2" w:rsidRDefault="00133BA2" w:rsidP="00133BA2">
          <w:pPr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4BE5DE75" w14:textId="77777777" w:rsidR="00133BA2" w:rsidRPr="00133BA2" w:rsidRDefault="00133BA2" w:rsidP="00133BA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33BA2">
            <w:rPr>
              <w:rFonts w:ascii="Arial" w:hAnsi="Arial" w:cs="Arial"/>
              <w:b/>
              <w:bCs/>
              <w:sz w:val="16"/>
              <w:szCs w:val="16"/>
            </w:rPr>
            <w:t>FECHA VERSIÓN: 31/05/2021</w:t>
          </w:r>
        </w:p>
      </w:tc>
    </w:tr>
    <w:tr w:rsidR="00133BA2" w:rsidRPr="00F423D2" w14:paraId="568E03EE" w14:textId="77777777" w:rsidTr="0049779C">
      <w:trPr>
        <w:trHeight w:val="133"/>
      </w:trPr>
      <w:tc>
        <w:tcPr>
          <w:tcW w:w="662" w:type="pct"/>
          <w:vMerge/>
          <w:shd w:val="clear" w:color="auto" w:fill="auto"/>
        </w:tcPr>
        <w:p w14:paraId="64677CC7" w14:textId="77777777" w:rsidR="00133BA2" w:rsidRPr="00F423D2" w:rsidRDefault="00133BA2" w:rsidP="00133BA2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3079" w:type="pct"/>
          <w:vMerge/>
          <w:shd w:val="clear" w:color="auto" w:fill="auto"/>
          <w:vAlign w:val="center"/>
        </w:tcPr>
        <w:p w14:paraId="712ADA26" w14:textId="77777777" w:rsidR="00133BA2" w:rsidRPr="00133BA2" w:rsidRDefault="00133BA2" w:rsidP="00133BA2">
          <w:pPr>
            <w:pStyle w:val="Encabezado"/>
            <w:ind w:hanging="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59" w:type="pct"/>
          <w:vAlign w:val="center"/>
        </w:tcPr>
        <w:p w14:paraId="13FFC750" w14:textId="77777777" w:rsidR="00133BA2" w:rsidRPr="00133BA2" w:rsidRDefault="00133BA2" w:rsidP="00133BA2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6"/>
              <w:szCs w:val="16"/>
            </w:rPr>
          </w:pPr>
          <w:r w:rsidRPr="00133BA2">
            <w:rPr>
              <w:rFonts w:ascii="Arial" w:hAnsi="Arial" w:cs="Arial"/>
              <w:b/>
              <w:bCs/>
              <w:sz w:val="16"/>
              <w:szCs w:val="16"/>
            </w:rPr>
            <w:t xml:space="preserve">PÁGINA: </w:t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t xml:space="preserve"> de </w:t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Pr="00133BA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36E321E" w14:textId="77777777" w:rsidR="00133BA2" w:rsidRPr="00951C82" w:rsidRDefault="00133BA2" w:rsidP="00617D3A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997"/>
    <w:multiLevelType w:val="hybridMultilevel"/>
    <w:tmpl w:val="4296F7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4772"/>
    <w:multiLevelType w:val="hybridMultilevel"/>
    <w:tmpl w:val="99FE1D48"/>
    <w:lvl w:ilvl="0" w:tplc="DB7A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03E63"/>
    <w:multiLevelType w:val="hybridMultilevel"/>
    <w:tmpl w:val="1AFC9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719B"/>
    <w:multiLevelType w:val="hybridMultilevel"/>
    <w:tmpl w:val="1AFC9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6A3C"/>
    <w:multiLevelType w:val="hybridMultilevel"/>
    <w:tmpl w:val="670E0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B7"/>
    <w:rsid w:val="0000137B"/>
    <w:rsid w:val="00012BB9"/>
    <w:rsid w:val="00015EDC"/>
    <w:rsid w:val="000512B0"/>
    <w:rsid w:val="00075453"/>
    <w:rsid w:val="000B0964"/>
    <w:rsid w:val="000F7604"/>
    <w:rsid w:val="00113C6C"/>
    <w:rsid w:val="0012376F"/>
    <w:rsid w:val="00123A94"/>
    <w:rsid w:val="00133BA2"/>
    <w:rsid w:val="00144C38"/>
    <w:rsid w:val="00147E97"/>
    <w:rsid w:val="0017602B"/>
    <w:rsid w:val="00184605"/>
    <w:rsid w:val="00197686"/>
    <w:rsid w:val="00197D45"/>
    <w:rsid w:val="001A2822"/>
    <w:rsid w:val="001C2292"/>
    <w:rsid w:val="00244D1C"/>
    <w:rsid w:val="00244D5A"/>
    <w:rsid w:val="00260B25"/>
    <w:rsid w:val="002C7AA1"/>
    <w:rsid w:val="00336C31"/>
    <w:rsid w:val="003803A2"/>
    <w:rsid w:val="003868C4"/>
    <w:rsid w:val="003A1336"/>
    <w:rsid w:val="003E24E2"/>
    <w:rsid w:val="00445CFE"/>
    <w:rsid w:val="004815C5"/>
    <w:rsid w:val="004B1CF0"/>
    <w:rsid w:val="004C0173"/>
    <w:rsid w:val="004D26CF"/>
    <w:rsid w:val="004E4E3A"/>
    <w:rsid w:val="0050723D"/>
    <w:rsid w:val="00547CB7"/>
    <w:rsid w:val="00572511"/>
    <w:rsid w:val="00582F7E"/>
    <w:rsid w:val="00611BF2"/>
    <w:rsid w:val="0061441E"/>
    <w:rsid w:val="00615ABE"/>
    <w:rsid w:val="00617D3A"/>
    <w:rsid w:val="00625919"/>
    <w:rsid w:val="00657878"/>
    <w:rsid w:val="006647B0"/>
    <w:rsid w:val="006C7FB1"/>
    <w:rsid w:val="006D2CF1"/>
    <w:rsid w:val="006F0528"/>
    <w:rsid w:val="006F11E1"/>
    <w:rsid w:val="006F18D1"/>
    <w:rsid w:val="00721069"/>
    <w:rsid w:val="00722213"/>
    <w:rsid w:val="007568B1"/>
    <w:rsid w:val="00776808"/>
    <w:rsid w:val="0079296E"/>
    <w:rsid w:val="007B2939"/>
    <w:rsid w:val="007D101B"/>
    <w:rsid w:val="007F3FAE"/>
    <w:rsid w:val="00837337"/>
    <w:rsid w:val="00864201"/>
    <w:rsid w:val="00871798"/>
    <w:rsid w:val="0089766F"/>
    <w:rsid w:val="008A135C"/>
    <w:rsid w:val="008B394C"/>
    <w:rsid w:val="008D762B"/>
    <w:rsid w:val="00915A8B"/>
    <w:rsid w:val="0092477F"/>
    <w:rsid w:val="00951C82"/>
    <w:rsid w:val="00986939"/>
    <w:rsid w:val="009A5481"/>
    <w:rsid w:val="009C012D"/>
    <w:rsid w:val="009D6E29"/>
    <w:rsid w:val="009D74D4"/>
    <w:rsid w:val="00A14A43"/>
    <w:rsid w:val="00A93664"/>
    <w:rsid w:val="00AD2F7A"/>
    <w:rsid w:val="00AD3085"/>
    <w:rsid w:val="00B00786"/>
    <w:rsid w:val="00B35F20"/>
    <w:rsid w:val="00B54E31"/>
    <w:rsid w:val="00BA40D4"/>
    <w:rsid w:val="00BB0D8E"/>
    <w:rsid w:val="00BB20AC"/>
    <w:rsid w:val="00BB77D4"/>
    <w:rsid w:val="00BC38B3"/>
    <w:rsid w:val="00BD116A"/>
    <w:rsid w:val="00BD422B"/>
    <w:rsid w:val="00BE0DB0"/>
    <w:rsid w:val="00C005D4"/>
    <w:rsid w:val="00C108EE"/>
    <w:rsid w:val="00C46160"/>
    <w:rsid w:val="00C473CA"/>
    <w:rsid w:val="00C560D2"/>
    <w:rsid w:val="00C815A6"/>
    <w:rsid w:val="00C8379E"/>
    <w:rsid w:val="00C974A1"/>
    <w:rsid w:val="00CC63CF"/>
    <w:rsid w:val="00CC6813"/>
    <w:rsid w:val="00D25ADE"/>
    <w:rsid w:val="00DE5BA0"/>
    <w:rsid w:val="00E474E7"/>
    <w:rsid w:val="00E65A03"/>
    <w:rsid w:val="00E67281"/>
    <w:rsid w:val="00EA63DA"/>
    <w:rsid w:val="00EE1FCB"/>
    <w:rsid w:val="00F030DD"/>
    <w:rsid w:val="00F15040"/>
    <w:rsid w:val="00F24ACF"/>
    <w:rsid w:val="00F47916"/>
    <w:rsid w:val="00F51120"/>
    <w:rsid w:val="00F9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8AEE6"/>
  <w15:chartTrackingRefBased/>
  <w15:docId w15:val="{856EE267-17BD-49BC-98CF-BA99370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547CB7"/>
  </w:style>
  <w:style w:type="paragraph" w:styleId="Piedepgina">
    <w:name w:val="footer"/>
    <w:basedOn w:val="Normal"/>
    <w:link w:val="PiedepginaCar"/>
    <w:uiPriority w:val="99"/>
    <w:unhideWhenUsed/>
    <w:rsid w:val="00547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CB7"/>
  </w:style>
  <w:style w:type="paragraph" w:styleId="Prrafodelista">
    <w:name w:val="List Paragraph"/>
    <w:basedOn w:val="Normal"/>
    <w:uiPriority w:val="34"/>
    <w:qFormat/>
    <w:rsid w:val="009D74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B8D4-D84C-4000-BE51-91F72755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Melduvio Delgado Macaza</dc:creator>
  <cp:keywords/>
  <dc:description/>
  <cp:lastModifiedBy>Jose Melduvio Delgado Macaza</cp:lastModifiedBy>
  <cp:revision>60</cp:revision>
  <dcterms:created xsi:type="dcterms:W3CDTF">2021-04-06T19:00:00Z</dcterms:created>
  <dcterms:modified xsi:type="dcterms:W3CDTF">2021-11-17T21:11:00Z</dcterms:modified>
</cp:coreProperties>
</file>